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COMMUNITY BOARD MEETING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76200</wp:posOffset>
            </wp:positionV>
            <wp:extent cx="1133475" cy="1009650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          Tuesday, October 17, 2017 @ 7:30 PM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Mt. Moriah (410 Wharton Street)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48"/>
          <w:szCs w:val="48"/>
          <w:rtl w:val="0"/>
        </w:rPr>
        <w:t xml:space="preserve">                                           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MINUTES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contextualSpacing w:val="0"/>
        <w:jc w:val="center"/>
        <w:rPr>
          <w:rFonts w:ascii="Trebuchet MS" w:cs="Trebuchet MS" w:eastAsia="Trebuchet MS" w:hAnsi="Trebuchet MS"/>
          <w:b w:val="1"/>
          <w:color w:val="33333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 to Order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Ted called the meeting to order at 7:30 p.m.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President’s Welcome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Approve Minutes</w:t>
      </w:r>
      <w:r w:rsidDel="00000000" w:rsidR="00000000" w:rsidRPr="00000000">
        <w:rPr>
          <w:sz w:val="24"/>
          <w:szCs w:val="24"/>
          <w:rtl w:val="0"/>
        </w:rPr>
        <w:t xml:space="preserve">  Chris moved, and Jeff seconded. The motion passed unanimously (5-0-0).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Election Committee Announce Results of Election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The independent DSWCA Election Committee certified the following results of the election: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President: Jeff Boettcher;  Vice President: Heather Davis; Secretary: Josephine Rivera; Treasurer: Chris Brick; Directors:  Courtney Bieberfeld, Jacleen Mowery Farrell. Samantha Mayo, </w:t>
        <w:tab/>
        <w:t xml:space="preserve">James McCrone, and Ted Savage.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of New Officer and Board Members -</w:t>
      </w:r>
      <w:r w:rsidDel="00000000" w:rsidR="00000000" w:rsidRPr="00000000">
        <w:rPr>
          <w:sz w:val="24"/>
          <w:szCs w:val="24"/>
          <w:rtl w:val="0"/>
        </w:rPr>
        <w:t xml:space="preserve"> All present.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Reports: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Finance Committee: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Chris reported that $163.00 was spent to place the advertisement for the election in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South Philly Review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Chris proposed that the Board continue to engage TruMark as the Association’s financial institution. The Board agreed to continue with TruMark.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Zoning Committee: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Larry Reigel reported that 508 Moore was purchased and a proposal to convert the building into 16 apartments was made. The Zoning Committee will be meeting with the individual in November.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7. </w:t>
        <w:tab/>
        <w:t xml:space="preserve">Administrative Items for Reorganization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Newspaper Publication: </w:t>
      </w:r>
      <w:r w:rsidDel="00000000" w:rsidR="00000000" w:rsidRPr="00000000">
        <w:rPr>
          <w:sz w:val="24"/>
          <w:szCs w:val="24"/>
          <w:rtl w:val="0"/>
        </w:rPr>
        <w:t xml:space="preserve">Chris proposed that the Association continue with South Philly Review. The Board agreed.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Meeting Schedule: </w:t>
      </w:r>
      <w:r w:rsidDel="00000000" w:rsidR="00000000" w:rsidRPr="00000000">
        <w:rPr>
          <w:sz w:val="24"/>
          <w:szCs w:val="24"/>
          <w:rtl w:val="0"/>
        </w:rPr>
        <w:t xml:space="preserve">The Board discussed the current schedule and timing of monthly meetings. Due to scheduling challenges in May, the Board agreed to meet the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Tuesday of every month at 6:30 p.m. at Mt. Moriah.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Appoint persons responsible: </w:t>
      </w:r>
      <w:r w:rsidDel="00000000" w:rsidR="00000000" w:rsidRPr="00000000">
        <w:rPr>
          <w:sz w:val="24"/>
          <w:szCs w:val="24"/>
          <w:rtl w:val="0"/>
        </w:rPr>
        <w:t xml:space="preserve">The following was agreed upon: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Mailchimp/Dispatch: Ted Savage.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Jamie would maintain the current website until the Board can meet with Jason O’Mara regarding a new website.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Twitter:  Jacleen agreed to maintain both of these accounts.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Instagram: Courtney agreed to continue to maintain the Instagram account.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Google Drive: Josephine is uploading and organizing the documents for the Association.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Crime Bulletins: Larry Reigel will post the weekly crime bulletins to the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8.</w:t>
        <w:tab/>
        <w:t xml:space="preserve">Expanding Civic Boundaries to Include Hoffman to Synder Avenue, 4th to 6th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Ted explained the process for expanding the Association. Jeff recommended Mariel continue to gather community support, bringing the documentation to the November Association meeting to discuss next steps.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9.   Comments from the Community -</w:t>
      </w:r>
      <w:r w:rsidDel="00000000" w:rsidR="00000000" w:rsidRPr="00000000">
        <w:rPr>
          <w:sz w:val="24"/>
          <w:szCs w:val="24"/>
          <w:rtl w:val="0"/>
        </w:rPr>
        <w:t xml:space="preserve"> There were no comments.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7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  <w:tab/>
        <w:t xml:space="preserve">Adjournment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450" w:firstLine="0"/>
      <w:contextualSpacing w:val="0"/>
      <w:rPr>
        <w:b w:val="1"/>
        <w:color w:val="434343"/>
        <w:sz w:val="24"/>
        <w:szCs w:val="2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00" w:before="100" w:lineRule="auto"/>
      <w:contextualSpacing w:val="1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